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5f5f5f"/>
          <w:u w:color="5f5f5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ПОЛОЖЕНИЕ О КОНКУРС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1"/>
        <w:spacing w:after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 О Л О Ж Е Н И 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конкурсе на разработку проекта стула или кресла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Учредителями и организаторами конкурса на разработку проекта кресла или стула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‒ Конкурс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выступают Унитарное предприятие «Экспофорум»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ИП ЗАО БЕЛС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Европейская школа интерьера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дизайна и декора</w:t>
      </w:r>
    </w:p>
    <w:p>
      <w:pPr>
        <w:pStyle w:val="Normal.0"/>
        <w:shd w:val="clear" w:color="auto" w:fill="ffffff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и задачи Конкурса</w:t>
      </w:r>
    </w:p>
    <w:p>
      <w:pPr>
        <w:pStyle w:val="Normal.0"/>
        <w:tabs>
          <w:tab w:val="left" w:pos="720"/>
        </w:tabs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1.1.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Цели Конкурса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развитие творческих способностей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создание возможностей для профессионального развития начинающих и действующих дизайнеров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развитие и популяризация белорусского дизайна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поиск новых идей и решений в проектировании мебели для дома и офиса</w:t>
      </w:r>
    </w:p>
    <w:p>
      <w:pPr>
        <w:pStyle w:val="Normal.0"/>
        <w:tabs>
          <w:tab w:val="left" w:pos="720"/>
        </w:tabs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tabs>
          <w:tab w:val="left" w:pos="720"/>
        </w:tabs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u w:color="2a2a2a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1.2.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Задачи Конкурса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предоставление конкурсантам возможности получения практических навыков разработки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технологического проектирования и создания кресел и стульев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демонстрация широких творческих возможностей при проектировании и производстве современных кресел и стульев для домашних и общественных интерьеров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формирование в потребительской среде положительного представления о белорусских дизайнерах мебели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результатах их творческой деятельности путём создания информационного повода при взаимодействии со СМИ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Порядок и условия проведения Конкурса </w:t>
      </w: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2.1.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Участники Конкурса –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белорусские дизайнеры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2.2.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Сроки и этапы проведения Конкурса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 xml:space="preserve">Конкурс проводится в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>этапа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>Первый этап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заочный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11-15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февраля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подготовка к проведению конкурса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разработка и согласование условий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17-18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февраля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рассылка приглашений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 участию в конкурсе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анонс  конкурса в социальных сетях и СМИ</w:t>
      </w:r>
    </w:p>
    <w:p>
      <w:pPr>
        <w:pStyle w:val="Normal.0"/>
        <w:suppressAutoHyphens w:val="1"/>
        <w:spacing w:after="0"/>
        <w:ind w:firstLine="708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февраля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включительно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прием проектов к участию в Конкурсе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5-11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– работа жюри Конкурса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>Второй этап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очный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12-14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‒ личная презентация финалистами Конкурса финальных проектов в рамках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международной специализированной выставки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интерьерных концепций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мебели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предметов декора и света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работа жюри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торжественное награждение победителей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Конкурсе могут принимать участие все желающие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высылают свои лучшие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эскизы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визуализацию кресла или стула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заполненную Анкету участника Конкурса по электронной почте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designdecorevent</w:t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gmail</w:t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com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могут быть выполнены в любой технике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Подача – в электронном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мультимедийная презентация размером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слайдов с различных ракурсов и пояснения к идее и концепции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виды и ракурсы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раскрытия творческой идеи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 итогам первого этапа жюри Конкурса определяются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победителей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которые выходят во второй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очный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этап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Второй  этап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‒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12-14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‒ защита финальных проектов и награждение победителей в ходе проведения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специализированной выставки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интерьерных концепций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мебели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предметов декора и света «Мебель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&amp;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Интерьер»</w:t>
      </w: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val="single"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2.3.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Требования к работам для участников первого этапа и порядок их предоставления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дизайнеры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желающие принять участие в конкурсе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высылают свои проекты и анкету участника на электронную почту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"mailto:designdecorevent@gmail.com"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designdecorevent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gmail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com</w:t>
      </w:r>
      <w:r>
        <w:rPr/>
        <w:fldChar w:fldCharType="end" w:fldLock="0"/>
      </w:r>
      <w:r>
        <w:rPr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 xml:space="preserve">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пометкой «Конкурс на разработку проекта кресла или стула»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Работы могут быть выполнены в любой технике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Подача – в электронном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мультимедийная презентация размером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слайдов с различных ракурсов и пояснения к идее и концепции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44"/>
        </w:tabs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2.4.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Критерии оценивания конкурсной работы </w:t>
      </w:r>
    </w:p>
    <w:p>
      <w:pPr>
        <w:pStyle w:val="Normal.0"/>
        <w:suppressAutoHyphens w:val="1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Критерии оценивания работы первого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заочного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этапа Конкурса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оригинальность авторского замысла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гармоничное цветовое и композиционное решение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концептуальная завершенность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техническая подача конкурсной работы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возможность реализации идеи в производственных условиях</w:t>
      </w:r>
    </w:p>
    <w:p>
      <w:pPr>
        <w:pStyle w:val="Normal.0"/>
        <w:suppressAutoHyphens w:val="1"/>
        <w:spacing w:after="0"/>
        <w:ind w:left="1571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Критерии оценивания работы финального этапа Конкурса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новизна идеи и оригинальность авторского замысла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уровень профессионального мастерства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коммерческая перспектива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возможность реализации идеи в производственных условиях</w:t>
      </w:r>
    </w:p>
    <w:p>
      <w:pPr>
        <w:pStyle w:val="Normal.0"/>
        <w:suppressAutoHyphens w:val="1"/>
        <w:spacing w:after="0"/>
        <w:ind w:left="1571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left="1571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left="1571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left="862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Жюри Конкурса</w:t>
      </w:r>
    </w:p>
    <w:p>
      <w:pPr>
        <w:pStyle w:val="Normal.0"/>
        <w:suppressAutoHyphens w:val="1"/>
        <w:spacing w:after="0"/>
        <w:ind w:left="862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Жюри состоит из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человек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один из которых является представителем ИП ЗАО БЕЛС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четверо – дипломированными дизайнерами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архитекторами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художниками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медийно известными персонами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имеющими опыт в организации и участии в конкурсах и мероприятиях в сфере дизайна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методическую подготовку в данной сфере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/>
        <w:ind w:left="709" w:firstLine="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left="709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Финансирование Конкурса и Авторское право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Конкурсе бесплатное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расходы на организацию и проведение Конкурса осуществляют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Унитарное предприятие «Экспофорум» ‒ информационная поддержка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ИП ЗАО БЕЛС ‒ информационная поддержка Конкурса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подготовка и вручение дипломов победителей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подготовка и вручение призов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книги по дизайну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 прототипа кресла или стула по эскизам финалистов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занявших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III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1, 2, 3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 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 фотосъемка изделий победителей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изготовлении прототипа и в случае серийного производства указание на специальном ярлыке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этикетке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технических характеристиках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имени и фамилии автора эскиза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участие в специализированной выставке “Постулат” с прототипами стульев по эскизам финалистов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мест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прототипов для участия в иных специализированных выставках и мероприятиях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серийного производства – безвозмездное дарение одного экземпляра изделия автору эскиза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Организаторы оставляют за собой право аннулировать результаты конкурса в случае обнаружения прямого плагиата и некорректного использования и заимствования идей или эскизов других авторов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widowControl w:val="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Информационная Поддержка Конкурса</w:t>
      </w:r>
    </w:p>
    <w:p>
      <w:pPr>
        <w:pStyle w:val="List Paragraph"/>
        <w:widowControl w:val="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Партнеры обязуются разместить полную информацию о Конкурсе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сроках и условиях его проведения на своих информационных и сетевых ресурсах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Координаторы Конкурса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Ткаченко Сергей Александрович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начальник отдела продаж ИП ЗАО БЕЛС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+375297982828,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sales</w:t>
      </w:r>
      <w:r>
        <w:rPr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Fonts w:ascii="Times New Roman" w:hAnsi="Times New Roman"/>
          <w:sz w:val="24"/>
          <w:szCs w:val="24"/>
          <w:rtl w:val="0"/>
          <w:lang w:val="en-US"/>
        </w:rPr>
        <w:t>bels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ru</w:t>
      </w:r>
    </w:p>
    <w:p>
      <w:pPr>
        <w:pStyle w:val="Normal.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Макеенко Катерина Александровна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специалист по маркетингу ЧТУП «Милени Декор»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+375293943029,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designdecorevent</w:t>
      </w:r>
      <w:r>
        <w:rPr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Fonts w:ascii="Times New Roman" w:hAnsi="Times New Roman"/>
          <w:sz w:val="24"/>
          <w:szCs w:val="24"/>
          <w:rtl w:val="0"/>
          <w:lang w:val="en-US"/>
        </w:rPr>
        <w:t>gmail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com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0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2124"/>
        </w:tabs>
        <w:ind w:left="862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1582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302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4284"/>
        </w:tabs>
        <w:ind w:left="3022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3742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4462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444"/>
        </w:tabs>
        <w:ind w:left="5182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5902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6622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